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225</w:t>
      </w:r>
    </w:p>
    <w:p>
      <w:r>
        <w:t>Bundesgericht (BGE), 1976-12-17, DE</w:t>
      </w:r>
    </w:p>
    <w:p>
      <w:r>
        <w:rPr>
          <w:b/>
        </w:rPr>
        <w:t xml:space="preserve">Quelle: </w:t>
      </w:r>
      <w:r>
        <w:t>https://mcp.opencaselaw.ch/entscheid/bge_102 IV 225</w:t>
      </w:r>
    </w:p>
    <w:p>
      <w:r>
        <w:t>FR: ATF 102 IV 225</w:t>
      </w:r>
    </w:p>
    <w:p>
      <w:r>
        <w:t>IT: DTF 102 IV 225</w:t>
      </w:r>
    </w:p>
    <w:p>
      <w:pPr>
        <w:pStyle w:val="Heading2"/>
      </w:pPr>
      <w:r>
        <w:t>Regeste</w:t>
      </w:r>
    </w:p>
    <w:p>
      <w:r>
        <w:t>Regeste 1. Art. 139 Ziff. 2 Abs. 5 StGB. Verhältnis von Abs. 5 (voraussehbare Todesfolge) zu den Qualifikationsmerkmalen der Abs. 2-4 (E. 2). 2. Art. 11 StGB. Nicht jede neurotische Fehlentwicklung (Verunsicherung, starke Minderwertigkeitsgefühle, Entschlussunfähigkeit) genügt, um die Zurechnungsfähigkeit herabzusetzen. Ermessen des Richters (E. 7).</w:t>
      </w:r>
    </w:p>
    <w:p>
      <w:pPr>
        <w:pStyle w:val="Heading2"/>
      </w:pPr>
      <w:r>
        <w:t>Erwägungen</w:t>
      </w:r>
    </w:p>
    <w:p>
      <w:r>
        <w:rPr>
          <w:b/>
        </w:rPr>
        <w:t>E. 2</w:t>
      </w:r>
    </w:p>
    <w:p>
      <w:r>
        <w:t>Fragen kann sich, ob in Fällen, wo der verübte Raub neben der voraussehbaren Todesfolge bereits andere Qualifikationsmerkmale gemäss Art. 139 Ziff. 2 StGB aufweist und demzufolge überhaupt kein Unterschied im Strafminimum besteht, nicht vom normalen Fahrlässigkeitsbegriff auszugehen sei. Das ist zu verneinen. Entscheidend sind nach der Rechtsprechung die Strafminima des einfachen und des durch die voraussehbare Todesfolge qualifizierten Tatbestandes. Art. 139 Ziff. 2 Abs. 5 StGB umschreibt zudem keine qualifiziertere Art eines gegenüber dem einfachen Raub bereits qualifizierten Straftatbestandes, sondern einen unter verschiedenen, BGE 102 IV 225 S. 226 durch jeweils besondere Merkmale ausgezeichneten Raub, der hinsichtlich der Rechtsfolge insofern abweichend von den übrigen behandelt wird, als nicht nur auf Zuchthaus von 5-20 Jahren, sondern auch auf lebenslängliches Zuchthaus erkannt werden kann. Für die Qualifikationsmerkmale des Art. 139 Ziff. 2 Abs. 1-4 StGB hat die Rechtsprechung bereits erkannt, "doppelt ausgezeichnet in dem Sinne, dass der aus dem einen Grunde verschärfte Strafrahmen aus einem andern Grunde noch weiter verschärft würde", könne der Raub nicht sein ( BGE 73 IV 19 ).</w:t>
      </w:r>
    </w:p>
    <w:p>
      <w:r>
        <w:rPr>
          <w:b/>
        </w:rPr>
        <w:t>E. 7</w:t>
      </w:r>
    </w:p>
    <w:p>
      <w:r>
        <w:t>a) Y. macht geltend, die Vorinstanz habe zu Unrecht eine Verminderung der Zurechnungsfähigkeit in leichtem Grade, wie sie das über ihn erstattete psychiatrische Gutachten vorsehe, verneint. b) Gemäss Art. 11 StGB kann der Richter die Strafe nach freiem Ermessen mildern ( Art. 66 StGB ), wenn der Täter zur Zeit der Tat in seiner geistigen Gesundheit oder in seinem Bewusstsein beeinträchtigt oder geistig mangelhaft entwickelt war, so dass die Fähigkeit, das Unrecht seiner Tat einzusehen oder gemäss seiner Einsicht in das Unrecht der Tat zu handeln, herabgesetzt war. Zur Annahme verminderter Zurechnungsfähigkeit genügt nicht jede geringfügige Herabsetzung der Fähigkeit, sich zu beherrschen ( BGE 73 IV 210 ). Der Täter muss vielmehr, zumal der Begriff des normalen Menschen nicht eng zu fassen ist (BINDER, SJZ 47, S. 101 ff.; BGE 73 IV 210 , BGE 78 IV 212 , BGE 81 IV 8 ), in hohem Masse in den Bereich des Abnormen fallen, seine Geistesverfassung nach Art und Grad stark vom Durchschnitt nicht bloss der Rechts-, sondern auch der Verbrechensgenossen abweichen ( BGE 98 IV 154 /55, BGE 100 IV 130 ). Ob diese Voraussetzungen erfüllt sind, ist weitgehend Ermessensfrage ( BGE 73 IV 211 ). Der Sachrichter ist bei seinem Entscheid nicht an die Schlussfolgerungen eines von ihm eingeholten psychiatrischen Gutachtens gebunden. Er kann dieses vielmehr in tatsächlicher Hinsicht frei auf seine Beweiskraft hin würdigen, und es steht ferner ihm, nicht dem Sachverständigen zu, den von ihm festgestellten Sachverhalt als Verminderung der Zurechnungsfähigkeit im Sinne von Art. 11 StGB zu werten oder zu erklären, er erfülle die gesetzlichen Merkmale dieses Rechtsbegriffes nicht ( BGE 75 IV 148 E. 1; BGE 81 IV 8 E. 1; BGE 96 IV 98 ). Weicht er in Fachfragen von der Auffassung BGE 102 IV 225 S. 227 des Experten ab, so hat er hiefür allerdings triftige Gründe anzuführen ( BGE 101 IV 129 ). Der Kassationshof hat auf Nichtigkeitsbeschwerde hin einzig zu prüfen, ob die Vorinstanz Bundesrecht zutreffend angewandt habe, insbesondere ob der von der Vorinstanz für ihn verbindlich festgestellte biologisch-psychologische Zustand, in dem der Täter die Delikte beging ( Art. 277bis Abs. 1 BStP ), die rechtlichen Merkmale der verminderten Zurechnungsfähigkeit im Sinne von Art. 11 StGB aufweist oder nicht ( BGE 81 IV 8 ). c) Nach dem von der Vorinstanz bei der psychiatrischen Universitätsklinik Bern eingeholten Gutachten hat Y. eine neurotische Fehlentwicklung durchgemacht, bei der er seine ursprünglich gute Intelligenzlage verkümmern liess und heute noch eine Intelligenzleistung von 90-95 IQ-Punkten aufweist. Die neurotische Reifungshemmung äussert sich in schwerer Verunsicherung, starken Minderwertigkeitsgefühlen, grosser Ambivalenz, woraus sich wiederum eine grosse Entschlussunfähigkeit ergibt. Dieser Mechanismus führt nach Auffassung des Sachverständigen zu seelischem Druck, aus dem sich unüberlegte Handlungen ergeben könnten, besonders wenn zum Beispiel durch Alkohol die Hemmschranken weggefallen seien. Y. lehne sich in seiner Unsicherheit gerne an andere an, wobei er diese oft überschätze, sich selbst aber unterschätze. Die Fähigkeit, gemäss der vorhandenen Einsicht in das Unrecht der Tat zu handeln, sei in leichtem Grade herabgesetzt gewesen. d) Die Vorinstanz geht, ohne das zwar ausdrücklich festzuhalten, offenbar vom biologisch-psychologischen Zustand des Y. aus, wie ihn das Gutachten beschreibt. Sie macht jedenfalls diesbezüglich keinerlei Einschränkungen. Eine Verminderung der Zurechnungsfähigkeit hat sie, ausgehend von einem rechtlich zutreffenden Begriff der Zurechnungsfähigkeit, deshalb verneint, weil die bei Y. festgestellte neurotische Fehlentwicklung nicht als schwerwiegender erscheine als der in BGE 78 IV 211 ff. umschriebene Mangel der Persönlichkeitsentwicklung. Sie hat das ihr bei dieser Wertung zustehende Ermessen nicht überschritten. Zwar spricht - wie bereits dargetan - das Gutachten davon, die neurotische Reifungshemmung des mit Sicherheit nicht schwachsinnigen Y. äussere sich in schwerer Verunsicherung, starken Minderwertigkeitsgefühlen, grosser BGE 102 IV 225 S. 228 Ambivalenz, woraus wieder eine grosse Entschlussunfähigkeit resultiere. Den seelischen Druck, zu dem dieser Mechanismus führe, charakterisiert das Gutachten indessen nicht näher, bezeichnet ihn jedenfalls nicht als einen solchen schwerwiegender Art. Abgesehen davon, dass unüberlegtes Handeln an sich eine Verminderung der Zurechnungsfähigkeit nicht indiziert, hält das Gutachten lediglich fest, aus dem geschilderten seelischen Druck könnten sich unüberlegte Handlungen ergeben, besonders wenn die Hemmungsschranken, beispielsweise durch Alkoholkonsum, wegfielen. Dass und inwiefern allenfalls mit bezug auf den in Frage stehenden Raub gerade eine solche Wirkung eingetreten sei, legt das Gutachten indessen nicht dar. Die Alkoholisierung des Y. war nach den Feststellungen des Strafgerichtes, die unwidersprochen blieben, derart geringfügig, dass von einem Wegfall der Hemmschranken ohnehin nicht die Rede sein kann. Unter diesen Umständen durfte die Vorinstanz ohne Ermessensüberschreitung annehmen, Y. falle selbst nach der Persönlichkeitsbeschreibung im Gutachten nicht in derart hohem Masse in den Bereich des Abnormen, dass sich daraus eine Verminderung der Zurechnungsfähigkeit, die der Gutachter selber nur als eine solche in leichtem Masse bezeichnet, ergebe.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